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07152D"/>
            <w:tcBorders>
              <w:top w:val="single" w:sz="0" w:color="07152D"/>
              <w:left w:val="single" w:sz="0" w:color="07152D"/>
              <w:bottom w:val="single" w:sz="0" w:color="07152D"/>
              <w:right w:val="single" w:sz="0" w:color="07152D"/>
            </w:tcBorders>
            <w:tcMar>
              <w:top w:w="420" w:type="dxa"/>
              <w:start w:w="390" w:type="dxa"/>
              <w:bottom w:w="420" w:type="dxa"/>
              <w:end w:w="390" w:type="dxa"/>
            </w:tcMar>
          </w:tcPr>
          <w:p>
            <w:r>
              <w:rPr>
                <w:rFonts w:ascii="Aptos" w:hAnsi="Aptos"/>
                <w:b/>
                <w:color w:val="D5A62A"/>
                <w:sz w:val="20"/>
              </w:rPr>
              <w:t>ENTREPRENEURIA</w:t>
            </w:r>
          </w:p>
          <w:p>
            <w:pPr>
              <w:spacing w:before="680"/>
            </w:pPr>
            <w:r>
              <w:rPr>
                <w:rFonts w:ascii="Aptos Display" w:hAnsi="Aptos Display"/>
                <w:b/>
                <w:color w:val="FFFFFF"/>
                <w:sz w:val="58"/>
              </w:rPr>
              <w:t>THE ENTREPRENEURIA</w:t>
              <w:br/>
              <w:t>MANIFESTO</w:t>
            </w:r>
          </w:p>
          <w:p>
            <w:pPr>
              <w:spacing w:before="1000"/>
            </w:pPr>
            <w:r>
              <w:rPr>
                <w:rFonts w:ascii="Aptos Display" w:hAnsi="Aptos Display"/>
                <w:b/>
                <w:color w:val="D5A62A"/>
                <w:sz w:val="44"/>
              </w:rPr>
              <w:t>AI creates capacity.</w:t>
              <w:br/>
              <w:t>Organizations create value.</w:t>
            </w:r>
          </w:p>
          <w:p>
            <w:pPr>
              <w:spacing w:before="2900"/>
            </w:pPr>
            <w:r>
              <w:rPr>
                <w:rFonts w:ascii="Aptos" w:hAnsi="Aptos"/>
                <w:b w:val="0"/>
                <w:color w:val="F7F1E5"/>
                <w:sz w:val="21"/>
              </w:rPr>
              <w:t>A field-based research initiative exploring how organizations transform AI into value.</w:t>
            </w:r>
          </w:p>
          <w:p>
            <w:pPr>
              <w:spacing w:before="560"/>
            </w:pPr>
            <w:r>
              <w:rPr>
                <w:rFonts w:ascii="Aptos" w:hAnsi="Aptos"/>
                <w:b w:val="0"/>
                <w:color w:val="D5A62A"/>
                <w:sz w:val="18"/>
              </w:rPr>
              <w:t>Pascale Caron  |  Manifesto Version 1.0  |  July 2026</w:t>
            </w:r>
          </w:p>
        </w:tc>
      </w:tr>
    </w:tbl>
    <w:p>
      <w:r>
        <w:br w:type="page"/>
      </w:r>
    </w:p>
    <w:p>
      <w:pPr>
        <w:spacing w:before="0" w:after="140" w:line="259" w:lineRule="auto"/>
      </w:pPr>
      <w:r>
        <w:rPr>
          <w:rFonts w:ascii="Aptos" w:hAnsi="Aptos"/>
          <w:b/>
          <w:color w:val="B38A3E"/>
          <w:sz w:val="17"/>
        </w:rPr>
        <w:t>POURQUOI CE MANIFESTE ?</w:t>
      </w:r>
    </w:p>
    <w:p>
      <w:pPr>
        <w:keepNext/>
        <w:spacing w:before="0" w:after="140" w:line="259" w:lineRule="auto"/>
      </w:pPr>
      <w:r>
        <w:rPr>
          <w:rFonts w:ascii="Aptos" w:hAnsi="Aptos"/>
          <w:b/>
          <w:color w:val="07152D"/>
          <w:sz w:val="46"/>
        </w:rPr>
        <w:t>Nous avons peut-être posé la mauvaise question.</w:t>
      </w:r>
    </w:p>
    <w:p>
      <w:pPr>
        <w:spacing w:before="0" w:after="260" w:line="259" w:lineRule="auto"/>
      </w:pPr>
      <w:r>
        <w:rPr>
          <w:rFonts w:ascii="Aptos" w:hAnsi="Aptos"/>
          <w:b w:val="0"/>
          <w:color w:val="6B7280"/>
          <w:sz w:val="22"/>
        </w:rPr>
        <w:t>Depuis plusieurs années, les entreprises demandent ce que l’intelligence artificielle peut automatiser. Elles devraient d’abord demander ce qu’elles veulent devenir.</w:t>
      </w:r>
    </w:p>
    <w:p>
      <w:pPr>
        <w:spacing w:before="0" w:after="180" w:line="259" w:lineRule="auto"/>
      </w:pPr>
      <w:r>
        <w:rPr>
          <w:rFonts w:ascii="Aptos" w:hAnsi="Aptos"/>
          <w:b w:val="0"/>
          <w:color w:val="18202B"/>
          <w:sz w:val="21"/>
        </w:rPr>
        <w:t>EntrepreneurIA observe une réalité simple : les modèles progressent rapidement et les outils se diffusent. Pourtant, la création de valeur reste profondément inégale.</w:t>
      </w:r>
    </w:p>
    <w:p>
      <w:pPr>
        <w:spacing w:before="240" w:after="280" w:line="252" w:lineRule="auto"/>
        <w:jc w:val="center"/>
      </w:pPr>
      <w:r>
        <w:rPr>
          <w:rFonts w:ascii="Aptos Display" w:hAnsi="Aptos Display"/>
          <w:b/>
          <w:color w:val="07152D"/>
          <w:sz w:val="36"/>
        </w:rPr>
        <w:t>The future of AI will not be decided by models.</w:t>
        <w:br/>
        <w:t>It will be decided by organizations.</w:t>
      </w:r>
    </w:p>
    <w:p>
      <w:pPr>
        <w:spacing w:before="0" w:after="160" w:line="259" w:lineRule="auto"/>
      </w:pPr>
      <w:r>
        <w:rPr>
          <w:rFonts w:ascii="Aptos" w:hAnsi="Aptos"/>
          <w:b w:val="0"/>
          <w:color w:val="18202B"/>
          <w:sz w:val="21"/>
        </w:rPr>
        <w:t>Après plus de cent entretiens avec des entrepreneurs, des dirigeants, des chercheurs et des experts, une même conclusion s’est imposée.</w:t>
      </w:r>
    </w:p>
    <w:p>
      <w:pPr>
        <w:spacing w:before="120" w:after="240" w:line="252" w:lineRule="auto"/>
        <w:jc w:val="center"/>
      </w:pPr>
      <w:r>
        <w:rPr>
          <w:rFonts w:ascii="Aptos Display" w:hAnsi="Aptos Display"/>
          <w:b/>
          <w:color w:val="B38A3E"/>
          <w:sz w:val="33"/>
        </w:rPr>
        <w:t>Les écarts de performance ne viennent pas seulement de la technologie.</w:t>
        <w:br/>
        <w:t>Ils viennent de l’organisation.</w:t>
      </w:r>
    </w:p>
    <w:p>
      <w:pPr>
        <w:spacing w:before="0" w:after="180" w:line="252" w:lineRule="auto"/>
      </w:pPr>
      <w:r>
        <w:rPr>
          <w:rFonts w:ascii="Aptos" w:hAnsi="Aptos"/>
          <w:b w:val="0"/>
          <w:color w:val="18202B"/>
          <w:sz w:val="20"/>
        </w:rPr>
        <w:t>La différence se joue dans la qualité des données, la clarté des responsabilités, la simplicité des processus, la transmission du savoir et le courage de remettre en cause le fonctionnement existant.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EEF2F7"/>
            <w:tcBorders>
              <w:top w:val="single" w:sz="7" w:color="07152D"/>
              <w:left w:val="single" w:sz="7" w:color="07152D"/>
              <w:bottom w:val="single" w:sz="7" w:color="07152D"/>
              <w:right w:val="single" w:sz="7" w:color="07152D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00"/>
            </w:pPr>
            <w:r>
              <w:rPr>
                <w:rFonts w:ascii="Aptos" w:hAnsi="Aptos"/>
                <w:b/>
                <w:color w:val="07152D"/>
                <w:sz w:val="17"/>
              </w:rPr>
              <w:t>NOTRE CONSTAT</w:t>
            </w:r>
          </w:p>
          <w:p>
            <w:pPr>
              <w:spacing w:after="0"/>
            </w:pPr>
            <w:r>
              <w:rPr>
                <w:rFonts w:ascii="Aptos" w:hAnsi="Aptos"/>
                <w:color w:val="18202B"/>
                <w:sz w:val="22"/>
              </w:rPr>
              <w:t>L’IA ne transforme pas les entreprises. Les entreprises transforment l’IA en valeur.</w:t>
            </w:r>
          </w:p>
        </w:tc>
      </w:tr>
    </w:tbl>
    <w:p>
      <w:pPr>
        <w:spacing w:before="180" w:after="140" w:line="259" w:lineRule="auto"/>
      </w:pPr>
      <w:r>
        <w:rPr>
          <w:rFonts w:ascii="Aptos" w:hAnsi="Aptos"/>
          <w:b w:val="0"/>
          <w:color w:val="18202B"/>
          <w:sz w:val="20"/>
        </w:rPr>
        <w:t>EntrepreneurIA n’est pas seulement un livre. C’est une initiative indépendante de recherche de terrain et d’analyse consacrée à l’impact réel de l’intelligence artificielle sur la stratégie, le leadership, le travail et la création de valeur.</w:t>
      </w:r>
    </w:p>
    <w:p>
      <w:pPr>
        <w:spacing w:before="0" w:after="80" w:line="259" w:lineRule="auto"/>
      </w:pPr>
      <w:r>
        <w:rPr>
          <w:rFonts w:ascii="Aptos" w:hAnsi="Aptos"/>
          <w:b/>
          <w:color w:val="07152D"/>
          <w:sz w:val="20"/>
        </w:rPr>
        <w:t>Aujourd’hui, EntrepreneurIA prend plusieurs formes :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le livre EntrepreneurIA ;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les entretiens de terrain ;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EntrepreneurIA Unplugged ;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The EntrepreneurIA Framework ;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le Manifesto ;</w:t>
      </w:r>
    </w:p>
    <w:p>
      <w:pPr>
        <w:spacing w:after="36"/>
        <w:ind w:left="198" w:hanging="142"/>
      </w:pPr>
      <w:r>
        <w:rPr>
          <w:rFonts w:ascii="Aptos" w:hAnsi="Aptos"/>
          <w:b w:val="0"/>
          <w:color w:val="18202B"/>
          <w:sz w:val="19"/>
        </w:rPr>
        <w:t>• les conférences, articles et tribunes.</w:t>
      </w:r>
    </w:p>
    <w:p>
      <w:pPr>
        <w:spacing w:before="280" w:after="0" w:line="259" w:lineRule="auto"/>
        <w:jc w:val="center"/>
      </w:pPr>
      <w:r>
        <w:rPr>
          <w:rFonts w:ascii="Aptos" w:hAnsi="Aptos"/>
          <w:b/>
          <w:color w:val="B38A3E"/>
          <w:sz w:val="29"/>
        </w:rPr>
        <w:t>AI creates capacity. Organizations create value.</w:t>
      </w:r>
    </w:p>
    <w:p>
      <w:r>
        <w:br w:type="page"/>
      </w:r>
    </w:p>
    <w:p>
      <w:pPr>
        <w:spacing w:before="0" w:after="140" w:line="259" w:lineRule="auto"/>
      </w:pPr>
      <w:r>
        <w:rPr>
          <w:rFonts w:ascii="Aptos" w:hAnsi="Aptos"/>
          <w:b/>
          <w:color w:val="B38A3E"/>
          <w:sz w:val="17"/>
        </w:rPr>
        <w:t>CE QUE NOUS REFUSONS. CE QUE NOUS AFFIRMONS.</w:t>
      </w:r>
    </w:p>
    <w:p>
      <w:pPr>
        <w:keepNext/>
        <w:spacing w:before="0" w:after="140" w:line="259" w:lineRule="auto"/>
      </w:pPr>
      <w:r>
        <w:rPr>
          <w:rFonts w:ascii="Aptos" w:hAnsi="Aptos"/>
          <w:b/>
          <w:color w:val="07152D"/>
          <w:sz w:val="46"/>
        </w:rPr>
        <w:t>Une autre manière de penser l’IA en entreprise</w:t>
      </w:r>
    </w:p>
    <w:p>
      <w:pPr>
        <w:spacing w:before="0" w:after="260" w:line="259" w:lineRule="auto"/>
      </w:pPr>
      <w:r>
        <w:rPr>
          <w:rFonts w:ascii="Aptos" w:hAnsi="Aptos"/>
          <w:b w:val="0"/>
          <w:color w:val="6B7280"/>
          <w:sz w:val="22"/>
        </w:rPr>
        <w:t>Un manifeste n’énumère pas des outils. Il formule des choix.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F7F1E5"/>
            <w:tcBorders>
              <w:top w:val="single" w:sz="6" w:color="B38A3E"/>
              <w:left w:val="single" w:sz="6" w:color="B38A3E"/>
              <w:bottom w:val="single" w:sz="6" w:color="B38A3E"/>
              <w:right w:val="single" w:sz="6" w:color="B38A3E"/>
            </w:tcBorders>
            <w:tcMar>
              <w:top w:w="150" w:type="dxa"/>
              <w:start w:w="155" w:type="dxa"/>
              <w:bottom w:w="150" w:type="dxa"/>
              <w:end w:w="15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152D"/>
                <w:sz w:val="23"/>
              </w:rPr>
              <w:t>NOUS REFUSONS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de confondre adoption et transformation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de mesurer la réussite au nombre de licences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d’automatiser un processus mal conçu sans le remettre en cause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de déléguer une décision sans clarifier qui en répond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de présenter l’IA comme une réponse lorsque le problème exige d’abord une décision humaine, une simplification ou une autre technologie.</w:t>
            </w:r>
          </w:p>
        </w:tc>
        <w:tc>
          <w:tcPr>
            <w:tcW w:type="dxa" w:w="5103"/>
            <w:shd w:fill="EEF2F7"/>
            <w:tcBorders>
              <w:top w:val="single" w:sz="6" w:color="B38A3E"/>
              <w:left w:val="single" w:sz="6" w:color="B38A3E"/>
              <w:bottom w:val="single" w:sz="6" w:color="B38A3E"/>
              <w:right w:val="single" w:sz="6" w:color="B38A3E"/>
            </w:tcBorders>
            <w:tcMar>
              <w:top w:w="150" w:type="dxa"/>
              <w:start w:w="155" w:type="dxa"/>
              <w:bottom w:w="150" w:type="dxa"/>
              <w:end w:w="155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07152D"/>
                <w:sz w:val="23"/>
              </w:rPr>
              <w:t>NOUS AFFIRMONS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que la valeur doit précéder l’outil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que le workflow est l’unité réelle de transformation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que les personnes, les agents et les systèmes doivent être conçus comme un ensemble cohérent, avec des rôles et des responsabilités explicites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que l’autonomie exige davantage de responsabilité, pas moins ;</w:t>
            </w:r>
          </w:p>
          <w:p>
            <w:pPr>
              <w:spacing w:after="100"/>
              <w:ind w:left="142" w:hanging="113"/>
            </w:pPr>
            <w:r>
              <w:rPr>
                <w:rFonts w:ascii="Aptos" w:hAnsi="Aptos"/>
                <w:color w:val="18202B"/>
                <w:sz w:val="18"/>
              </w:rPr>
              <w:t>• qu’une capacité nouvelle n’a de valeur que lorsqu’elle est effectivement réinvestie dans un résultat utile.</w:t>
            </w:r>
          </w:p>
        </w:tc>
      </w:tr>
    </w:tbl>
    <w:p>
      <w:pPr>
        <w:spacing w:before="320" w:after="160" w:line="259" w:lineRule="auto"/>
      </w:pPr>
      <w:r>
        <w:rPr>
          <w:rFonts w:ascii="Aptos" w:hAnsi="Aptos"/>
          <w:b/>
          <w:color w:val="07152D"/>
          <w:sz w:val="22"/>
        </w:rPr>
        <w:t>Nous croyons que l’avantage compétitif ne viendra pas de l’accès à davantage de modèles. Il viendra de la capacité à mieux concevoir le travail, mieux transmettre la connaissance et mieux assumer les décisions.</w:t>
      </w:r>
    </w:p>
    <w:p>
      <w:pPr>
        <w:spacing w:before="180" w:after="180"/>
        <w:jc w:val="center"/>
      </w:pPr>
      <w:r>
        <w:rPr>
          <w:rFonts w:ascii="Aptos Display" w:hAnsi="Aptos Display"/>
          <w:b/>
          <w:color w:val="B38A3E"/>
          <w:sz w:val="30"/>
        </w:rPr>
        <w:t>L’intelligence artificielle révèle les organisations avant de les transformer.</w:t>
      </w:r>
    </w:p>
    <w:p>
      <w:pPr>
        <w:spacing w:before="80" w:after="140" w:line="259" w:lineRule="auto"/>
      </w:pPr>
      <w:r>
        <w:rPr>
          <w:rFonts w:ascii="Aptos" w:hAnsi="Aptos"/>
          <w:b w:val="0"/>
          <w:color w:val="18202B"/>
          <w:sz w:val="20"/>
        </w:rPr>
        <w:t>Elle rend visibles les silos, les données contradictoires, les validations inutiles et les responsabilités ambiguës.</w:t>
      </w:r>
    </w:p>
    <w:p>
      <w:pPr>
        <w:spacing w:before="0" w:after="200" w:line="259" w:lineRule="auto"/>
      </w:pPr>
      <w:r>
        <w:rPr>
          <w:rFonts w:ascii="Aptos" w:hAnsi="Aptos"/>
          <w:b w:val="0"/>
          <w:color w:val="18202B"/>
          <w:sz w:val="20"/>
        </w:rPr>
        <w:t>Nous défendons une transformation dans laquelle la technologie reste au service d’un projet d’entreprise explicite, mesurable et humainement responsable.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07152D"/>
            <w:tcBorders>
              <w:top w:val="single" w:sz="7" w:color="D5A62A"/>
              <w:left w:val="single" w:sz="7" w:color="D5A62A"/>
              <w:bottom w:val="single" w:sz="7" w:color="D5A62A"/>
              <w:right w:val="single" w:sz="7" w:color="D5A62A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00"/>
            </w:pPr>
            <w:r>
              <w:rPr>
                <w:rFonts w:ascii="Aptos" w:hAnsi="Aptos"/>
                <w:b/>
                <w:color w:val="D5A62A"/>
                <w:sz w:val="17"/>
              </w:rPr>
              <w:t>UNE RECHERCHE VIVANTE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color w:val="FFFFFF"/>
                <w:sz w:val="22"/>
              </w:rPr>
              <w:t>The EntrepreneurIA Framework n’est pas une théorie.</w:t>
              <w:br/>
              <w:t>C’est une recherche en mouvement.</w:t>
            </w:r>
          </w:p>
        </w:tc>
      </w:tr>
    </w:tbl>
    <w:p>
      <w:r>
        <w:br w:type="page"/>
      </w:r>
    </w:p>
    <w:p>
      <w:pPr>
        <w:spacing w:before="0" w:after="140" w:line="259" w:lineRule="auto"/>
      </w:pPr>
      <w:r>
        <w:rPr>
          <w:rFonts w:ascii="Aptos" w:hAnsi="Aptos"/>
          <w:b/>
          <w:color w:val="B38A3E"/>
          <w:sz w:val="17"/>
        </w:rPr>
        <w:t>CE QUE NOUS DÉFENDONS</w:t>
      </w:r>
    </w:p>
    <w:p>
      <w:pPr>
        <w:keepNext/>
        <w:spacing w:before="0" w:after="140" w:line="259" w:lineRule="auto"/>
      </w:pPr>
      <w:r>
        <w:rPr>
          <w:rFonts w:ascii="Aptos" w:hAnsi="Aptos"/>
          <w:b/>
          <w:color w:val="07152D"/>
          <w:sz w:val="46"/>
        </w:rPr>
        <w:t>Une recherche ouverte. Un projet collectif.</w:t>
      </w:r>
    </w:p>
    <w:p>
      <w:pPr>
        <w:spacing w:before="0" w:after="260" w:line="259" w:lineRule="auto"/>
      </w:pPr>
      <w:r>
        <w:rPr>
          <w:rFonts w:ascii="Aptos" w:hAnsi="Aptos"/>
          <w:b w:val="0"/>
          <w:color w:val="6B7280"/>
          <w:sz w:val="22"/>
        </w:rPr>
        <w:t>EntrepreneurIA transforme les expériences de terrain en repères partagés pour les dirigeants.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07152D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D5A62A"/>
                <w:sz w:val="30"/>
              </w:rPr>
              <w:t>1</w:t>
            </w:r>
          </w:p>
        </w:tc>
        <w:tc>
          <w:tcPr>
            <w:tcW w:type="dxa" w:w="5103"/>
            <w:shd w:fill="F7F1E5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07152D"/>
                <w:sz w:val="20"/>
              </w:rPr>
              <w:t>PARTIR DE LA VALEUR</w:t>
            </w:r>
          </w:p>
          <w:p>
            <w:r>
              <w:rPr>
                <w:rFonts w:ascii="Aptos" w:hAnsi="Aptos"/>
                <w:color w:val="18202B"/>
                <w:sz w:val="18"/>
              </w:rPr>
              <w:t>Le point de départ n’est pas un outil. C’est un résultat métier, un problème réel ou une capacité stratégique à construire.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07152D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D5A62A"/>
                <w:sz w:val="30"/>
              </w:rPr>
              <w:t>2</w:t>
            </w:r>
          </w:p>
        </w:tc>
        <w:tc>
          <w:tcPr>
            <w:tcW w:type="dxa" w:w="5103"/>
            <w:shd w:fill="EEF2F7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07152D"/>
                <w:sz w:val="20"/>
              </w:rPr>
              <w:t>REGARDER LE TRAVAIL RÉEL</w:t>
            </w:r>
          </w:p>
          <w:p>
            <w:r>
              <w:rPr>
                <w:rFonts w:ascii="Aptos" w:hAnsi="Aptos"/>
                <w:color w:val="18202B"/>
                <w:sz w:val="18"/>
              </w:rPr>
              <w:t>L’organigramme ne suffit pas. Il faut comprendre les workflows, les contournements, les validations et le savoir tacite.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07152D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D5A62A"/>
                <w:sz w:val="30"/>
              </w:rPr>
              <w:t>3</w:t>
            </w:r>
          </w:p>
        </w:tc>
        <w:tc>
          <w:tcPr>
            <w:tcW w:type="dxa" w:w="5103"/>
            <w:shd w:fill="F7F1E5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07152D"/>
                <w:sz w:val="20"/>
              </w:rPr>
              <w:t>CONCEVOIR LA COOPÉRATION</w:t>
            </w:r>
          </w:p>
          <w:p>
            <w:r>
              <w:rPr>
                <w:rFonts w:ascii="Aptos" w:hAnsi="Aptos"/>
                <w:color w:val="18202B"/>
                <w:sz w:val="18"/>
              </w:rPr>
              <w:t>Les personnes, les agents et les systèmes doivent être conçus comme un ensemble cohérent, avec des rôles, des responsabilités et des limites explicites.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07152D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D5A62A"/>
                <w:sz w:val="30"/>
              </w:rPr>
              <w:t>4</w:t>
            </w:r>
          </w:p>
        </w:tc>
        <w:tc>
          <w:tcPr>
            <w:tcW w:type="dxa" w:w="5103"/>
            <w:shd w:fill="EEF2F7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07152D"/>
                <w:sz w:val="20"/>
              </w:rPr>
              <w:t>PRÉSERVER LA RESPONSABILITÉ</w:t>
            </w:r>
          </w:p>
          <w:p>
            <w:r>
              <w:rPr>
                <w:rFonts w:ascii="Aptos" w:hAnsi="Aptos"/>
                <w:color w:val="18202B"/>
                <w:sz w:val="18"/>
              </w:rPr>
              <w:t>Plus un système peut agir, plus l’organisation doit clarifier les permissions, les recours et la personne qui répond du résultat.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shd w:fill="07152D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80" w:type="dxa"/>
              <w:bottom w:w="12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D5A62A"/>
                <w:sz w:val="30"/>
              </w:rPr>
              <w:t>5</w:t>
            </w:r>
          </w:p>
        </w:tc>
        <w:tc>
          <w:tcPr>
            <w:tcW w:type="dxa" w:w="5103"/>
            <w:shd w:fill="F7F1E5"/>
            <w:tcBorders>
              <w:top w:val="single" w:sz="5" w:color="B38A3E"/>
              <w:left w:val="single" w:sz="5" w:color="B38A3E"/>
              <w:bottom w:val="single" w:sz="5" w:color="B38A3E"/>
              <w:right w:val="single" w:sz="5" w:color="B38A3E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07152D"/>
                <w:sz w:val="20"/>
              </w:rPr>
              <w:t>TRANSFORMER LA CAPACITÉ EN VALEUR</w:t>
            </w:r>
          </w:p>
          <w:p>
            <w:r>
              <w:rPr>
                <w:rFonts w:ascii="Aptos" w:hAnsi="Aptos"/>
                <w:color w:val="18202B"/>
                <w:sz w:val="18"/>
              </w:rPr>
              <w:t>Une heure gagnée ne crée rien par elle-même. La valeur apparaît lorsque la capacité libérée est réinvestie dans un résultat utile.</w:t>
            </w:r>
          </w:p>
        </w:tc>
      </w:tr>
    </w:tbl>
    <w:p>
      <w:pPr>
        <w:spacing w:after="20"/>
      </w:pPr>
    </w:p>
    <w:p>
      <w:pPr>
        <w:spacing w:before="200" w:after="100" w:line="259" w:lineRule="auto"/>
      </w:pPr>
      <w:r>
        <w:rPr>
          <w:rFonts w:ascii="Aptos" w:hAnsi="Aptos"/>
          <w:b/>
          <w:color w:val="07152D"/>
          <w:sz w:val="25"/>
        </w:rPr>
        <w:t>EntrepreneurIA est une recherche ouverte aux expériences de terrain.</w:t>
      </w:r>
    </w:p>
    <w:p>
      <w:pPr>
        <w:spacing w:before="0" w:after="160" w:line="259" w:lineRule="auto"/>
      </w:pPr>
      <w:r>
        <w:rPr>
          <w:rFonts w:ascii="Aptos" w:hAnsi="Aptos"/>
          <w:b w:val="0"/>
          <w:color w:val="18202B"/>
          <w:sz w:val="20"/>
        </w:rPr>
        <w:t>Les entrepreneurs, chercheurs, dirigeants et praticiens qui partagent leurs observations, leurs désaccords et leurs résultats contribuent à faire évoluer cette réflexion et The EntrepreneurIA Framework.</w:t>
      </w:r>
    </w:p>
    <w:p>
      <w:pPr>
        <w:spacing w:before="200" w:after="240" w:line="259" w:lineRule="auto"/>
        <w:jc w:val="center"/>
      </w:pPr>
      <w:r>
        <w:rPr>
          <w:rFonts w:ascii="Aptos" w:hAnsi="Aptos"/>
          <w:b/>
          <w:color w:val="B38A3E"/>
          <w:sz w:val="22"/>
        </w:rPr>
        <w:t>EntrepreneurIA poursuit cette recherche. Yunova Consulting accompagne sa mise en œuvre.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rPr>
          <w:trHeight w:val="13200" w:hRule="exact"/>
        </w:trPr>
        <w:tc>
          <w:tcPr>
            <w:tcW w:type="dxa" w:w="10206"/>
            <w:vAlign w:val="center"/>
            <w:shd w:fill="07152D"/>
            <w:tcBorders>
              <w:top w:val="single" w:sz="0" w:color="07152D"/>
              <w:left w:val="single" w:sz="0" w:color="07152D"/>
              <w:bottom w:val="single" w:sz="0" w:color="07152D"/>
              <w:right w:val="single" w:sz="0" w:color="07152D"/>
            </w:tcBorders>
            <w:tcMar>
              <w:top w:w="520" w:type="dxa"/>
              <w:start w:w="240" w:type="dxa"/>
              <w:bottom w:w="520" w:type="dxa"/>
              <w:end w:w="240" w:type="dxa"/>
            </w:tcMar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D5A62A"/>
                <w:sz w:val="44"/>
              </w:rPr>
              <w:t>ENTREPRENEURIA</w:t>
            </w:r>
          </w:p>
          <w:p>
            <w:pPr>
              <w:spacing w:before="400" w:after="840"/>
              <w:jc w:val="center"/>
            </w:pPr>
            <w:r>
              <w:rPr>
                <w:rFonts w:ascii="Aptos Display" w:hAnsi="Aptos Display"/>
                <w:b w:val="0"/>
                <w:color w:val="FFFFFF"/>
                <w:sz w:val="26"/>
              </w:rPr>
              <w:t>Research.</w:t>
              <w:br/>
              <w:br/>
              <w:t>Strategy.</w:t>
              <w:br/>
              <w:br/>
              <w:t>Transformation.</w:t>
            </w:r>
          </w:p>
          <w:p>
            <w:pPr>
              <w:spacing w:before="280"/>
              <w:jc w:val="center"/>
            </w:pPr>
            <w:r>
              <w:rPr>
                <w:rFonts w:ascii="Aptos Display" w:hAnsi="Aptos Display"/>
                <w:b/>
                <w:color w:val="D5A62A"/>
                <w:sz w:val="42"/>
              </w:rPr>
              <w:t>AI creates capacity.</w:t>
              <w:br/>
              <w:t>Organizations create value.</w:t>
            </w:r>
          </w:p>
          <w:p>
            <w:pPr>
              <w:spacing w:before="240"/>
              <w:jc w:val="center"/>
            </w:pPr>
            <w:r>
              <w:rPr>
                <w:rFonts w:ascii="Aptos" w:hAnsi="Aptos"/>
                <w:b w:val="0"/>
                <w:color w:val="F7F1E5"/>
                <w:sz w:val="17"/>
              </w:rPr>
              <w:t>A field-based research initiative exploring how organizations transform AI into value.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6B7280"/>
        <w:sz w:val="14"/>
      </w:rPr>
      <w:t xml:space="preserve">ENTREPRENEURIA  |  MANIFESTO  |  </w:t>
    </w:r>
    <w:r>
      <w:fldChar w:fldCharType="begin"/>
      <w:instrText xml:space="preserve"> PAGE </w:instrText>
      <w:fldChar w:fldCharType="end"/>
    </w:r>
    <w:r>
      <w:rPr>
        <w:sz w:val="14"/>
      </w:rPr>
      <w:t>/5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6B7280"/>
        <w:sz w:val="15"/>
      </w:rPr>
      <w:t>ENTREPRENEURIA  |  MANIFESTO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20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EntrepreneurIA Manifesto</dc:title>
  <dc:subject>Manifesto Version 1.0</dc:subject>
  <dc:creator>Pascale Caron</dc:creator>
  <cp:keywords>EntrepreneurIA, AI strategy, organizational transformation, leadership, value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